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horzAnchor="margin" w:tblpXSpec="right" w:tblpY="-517"/>
        <w:tblW w:w="5580" w:type="dxa"/>
        <w:tblLayout w:type="fixed"/>
        <w:tblCellMar>
          <w:left w:w="70" w:type="dxa"/>
          <w:right w:w="70" w:type="dxa"/>
        </w:tblCellMar>
        <w:tblLook w:val="0000" w:firstRow="0" w:lastRow="0" w:firstColumn="0" w:lastColumn="0" w:noHBand="0" w:noVBand="0"/>
      </w:tblPr>
      <w:tblGrid>
        <w:gridCol w:w="3060"/>
        <w:gridCol w:w="2520"/>
      </w:tblGrid>
      <w:tr w:rsidR="00E33528">
        <w:tc>
          <w:tcPr>
            <w:tcW w:w="3060" w:type="dxa"/>
          </w:tcPr>
          <w:p w:rsidR="00E33528" w:rsidRDefault="00E33528">
            <w:pPr>
              <w:tabs>
                <w:tab w:val="left" w:pos="6662"/>
              </w:tabs>
              <w:rPr>
                <w:sz w:val="20"/>
              </w:rPr>
            </w:pPr>
          </w:p>
        </w:tc>
        <w:tc>
          <w:tcPr>
            <w:tcW w:w="2520" w:type="dxa"/>
            <w:vAlign w:val="center"/>
          </w:tcPr>
          <w:p w:rsidR="00E33528" w:rsidRDefault="00E33528">
            <w:pPr>
              <w:tabs>
                <w:tab w:val="left" w:pos="6662"/>
              </w:tabs>
              <w:rPr>
                <w:b/>
                <w:bCs/>
              </w:rPr>
            </w:pPr>
          </w:p>
        </w:tc>
      </w:tr>
      <w:tr w:rsidR="00E33528">
        <w:tc>
          <w:tcPr>
            <w:tcW w:w="3060" w:type="dxa"/>
          </w:tcPr>
          <w:p w:rsidR="00E33528" w:rsidRPr="002B12EA" w:rsidRDefault="00E33528">
            <w:pPr>
              <w:tabs>
                <w:tab w:val="left" w:pos="6662"/>
              </w:tabs>
              <w:rPr>
                <w:rFonts w:ascii="Arial" w:hAnsi="Arial" w:cs="Arial"/>
                <w:sz w:val="18"/>
                <w:szCs w:val="18"/>
              </w:rPr>
            </w:pPr>
            <w:r w:rsidRPr="002B12EA">
              <w:rPr>
                <w:rFonts w:ascii="Arial" w:hAnsi="Arial" w:cs="Arial"/>
                <w:noProof/>
                <w:sz w:val="18"/>
                <w:szCs w:val="18"/>
              </w:rPr>
              <w:t>Kenmerk:</w:t>
            </w:r>
            <w:r w:rsidRPr="002B12EA">
              <w:rPr>
                <w:rFonts w:ascii="Arial" w:hAnsi="Arial" w:cs="Arial"/>
                <w:noProof/>
                <w:sz w:val="18"/>
                <w:szCs w:val="18"/>
              </w:rPr>
              <w:tab/>
            </w:r>
          </w:p>
        </w:tc>
        <w:tc>
          <w:tcPr>
            <w:tcW w:w="2520" w:type="dxa"/>
          </w:tcPr>
          <w:p w:rsidR="00E33528" w:rsidRPr="002B12EA" w:rsidRDefault="00E33528">
            <w:pPr>
              <w:tabs>
                <w:tab w:val="left" w:pos="6662"/>
              </w:tabs>
              <w:rPr>
                <w:rFonts w:ascii="Arial" w:hAnsi="Arial" w:cs="Arial"/>
                <w:sz w:val="18"/>
                <w:szCs w:val="18"/>
              </w:rPr>
            </w:pPr>
            <w:bookmarkStart w:id="0" w:name="kenmerk"/>
            <w:bookmarkEnd w:id="0"/>
          </w:p>
        </w:tc>
      </w:tr>
      <w:tr w:rsidR="00E33528">
        <w:tc>
          <w:tcPr>
            <w:tcW w:w="3060" w:type="dxa"/>
          </w:tcPr>
          <w:p w:rsidR="00E33528" w:rsidRPr="002B12EA" w:rsidRDefault="00E33528">
            <w:pPr>
              <w:tabs>
                <w:tab w:val="left" w:pos="6662"/>
              </w:tabs>
              <w:rPr>
                <w:rFonts w:ascii="Arial" w:hAnsi="Arial" w:cs="Arial"/>
                <w:sz w:val="18"/>
                <w:szCs w:val="18"/>
              </w:rPr>
            </w:pPr>
            <w:r w:rsidRPr="002B12EA">
              <w:rPr>
                <w:rFonts w:ascii="Arial" w:hAnsi="Arial" w:cs="Arial"/>
                <w:sz w:val="18"/>
                <w:szCs w:val="18"/>
              </w:rPr>
              <w:t>Afdeling:</w:t>
            </w:r>
          </w:p>
        </w:tc>
        <w:tc>
          <w:tcPr>
            <w:tcW w:w="2520" w:type="dxa"/>
          </w:tcPr>
          <w:p w:rsidR="00E33528" w:rsidRPr="002B12EA" w:rsidRDefault="00E33528">
            <w:pPr>
              <w:tabs>
                <w:tab w:val="left" w:pos="6662"/>
              </w:tabs>
              <w:rPr>
                <w:rFonts w:ascii="Arial" w:hAnsi="Arial" w:cs="Arial"/>
                <w:sz w:val="18"/>
                <w:szCs w:val="18"/>
              </w:rPr>
            </w:pPr>
            <w:bookmarkStart w:id="1" w:name="afdeling"/>
            <w:bookmarkEnd w:id="1"/>
          </w:p>
        </w:tc>
      </w:tr>
      <w:tr w:rsidR="00E33528">
        <w:tc>
          <w:tcPr>
            <w:tcW w:w="3060" w:type="dxa"/>
          </w:tcPr>
          <w:p w:rsidR="00E33528" w:rsidRPr="002B12EA" w:rsidRDefault="00E33528">
            <w:pPr>
              <w:tabs>
                <w:tab w:val="left" w:pos="6662"/>
              </w:tabs>
              <w:rPr>
                <w:rFonts w:ascii="Arial" w:hAnsi="Arial" w:cs="Arial"/>
                <w:sz w:val="18"/>
                <w:szCs w:val="18"/>
              </w:rPr>
            </w:pPr>
            <w:r w:rsidRPr="002B12EA">
              <w:rPr>
                <w:rFonts w:ascii="Arial" w:hAnsi="Arial" w:cs="Arial"/>
                <w:sz w:val="18"/>
                <w:szCs w:val="18"/>
              </w:rPr>
              <w:t>Portefeuillehouder:</w:t>
            </w:r>
          </w:p>
        </w:tc>
        <w:tc>
          <w:tcPr>
            <w:tcW w:w="2520" w:type="dxa"/>
          </w:tcPr>
          <w:p w:rsidR="00E33528" w:rsidRPr="002B12EA" w:rsidRDefault="00E33528">
            <w:pPr>
              <w:tabs>
                <w:tab w:val="left" w:pos="6662"/>
              </w:tabs>
              <w:rPr>
                <w:rFonts w:ascii="Arial" w:hAnsi="Arial" w:cs="Arial"/>
                <w:sz w:val="18"/>
                <w:szCs w:val="18"/>
              </w:rPr>
            </w:pPr>
            <w:bookmarkStart w:id="2" w:name="portefeuillehouder"/>
            <w:bookmarkEnd w:id="2"/>
          </w:p>
        </w:tc>
      </w:tr>
      <w:tr w:rsidR="00E33528">
        <w:tc>
          <w:tcPr>
            <w:tcW w:w="3060" w:type="dxa"/>
          </w:tcPr>
          <w:p w:rsidR="00E33528" w:rsidRDefault="00E33528">
            <w:pPr>
              <w:tabs>
                <w:tab w:val="left" w:pos="6662"/>
              </w:tabs>
              <w:rPr>
                <w:sz w:val="32"/>
              </w:rPr>
            </w:pPr>
          </w:p>
        </w:tc>
        <w:tc>
          <w:tcPr>
            <w:tcW w:w="2520" w:type="dxa"/>
          </w:tcPr>
          <w:p w:rsidR="00E33528" w:rsidRDefault="00E33528">
            <w:pPr>
              <w:tabs>
                <w:tab w:val="left" w:pos="6662"/>
              </w:tabs>
              <w:rPr>
                <w:sz w:val="32"/>
              </w:rPr>
            </w:pPr>
          </w:p>
        </w:tc>
      </w:tr>
      <w:tr w:rsidR="00E33528">
        <w:trPr>
          <w:cantSplit/>
        </w:trPr>
        <w:tc>
          <w:tcPr>
            <w:tcW w:w="5580" w:type="dxa"/>
            <w:gridSpan w:val="2"/>
          </w:tcPr>
          <w:p w:rsidR="00E33528" w:rsidRPr="002B12EA" w:rsidRDefault="00E33528">
            <w:pPr>
              <w:pStyle w:val="Kop2"/>
              <w:framePr w:hSpace="0" w:wrap="auto" w:vAnchor="margin" w:hAnchor="text" w:xAlign="left" w:yAlign="inline"/>
              <w:rPr>
                <w:rFonts w:ascii="Arial" w:hAnsi="Arial" w:cs="Arial"/>
              </w:rPr>
            </w:pPr>
            <w:r w:rsidRPr="002B12EA">
              <w:rPr>
                <w:rFonts w:ascii="Arial" w:hAnsi="Arial" w:cs="Arial"/>
              </w:rPr>
              <w:t>Uitspreken wensen of bedenkingen</w:t>
            </w:r>
          </w:p>
        </w:tc>
      </w:tr>
    </w:tbl>
    <w:p w:rsidR="00E33528" w:rsidRDefault="00E33528"/>
    <w:p w:rsidR="00E33528" w:rsidRDefault="00237C53">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pt;margin-top:-63pt;width:162pt;height:122.85pt;z-index:251657728">
            <v:imagedata r:id="rId8" o:title="logoterzw"/>
          </v:shape>
        </w:pict>
      </w:r>
    </w:p>
    <w:p w:rsidR="00E33528" w:rsidRDefault="00E33528">
      <w:pPr>
        <w:rPr>
          <w:b/>
          <w:bCs/>
          <w:sz w:val="32"/>
        </w:rPr>
      </w:pPr>
      <w:r>
        <w:tab/>
      </w:r>
      <w:r>
        <w:tab/>
        <w:t xml:space="preserve">   </w:t>
      </w:r>
    </w:p>
    <w:p w:rsidR="00E33528" w:rsidRDefault="00E33528"/>
    <w:p w:rsidR="00E33528" w:rsidRDefault="00E33528">
      <w:pPr>
        <w:pStyle w:val="Lijst"/>
        <w:spacing w:after="0"/>
        <w:rPr>
          <w:rFonts w:cs="Times New Roman"/>
        </w:rPr>
      </w:pPr>
    </w:p>
    <w:p w:rsidR="00E33528" w:rsidRDefault="00E33528"/>
    <w:p w:rsidR="00E33528" w:rsidRDefault="00E33528"/>
    <w:p w:rsidR="00E33528" w:rsidRDefault="00E33528"/>
    <w:tbl>
      <w:tblPr>
        <w:tblW w:w="0" w:type="auto"/>
        <w:tblLayout w:type="fixed"/>
        <w:tblLook w:val="0000" w:firstRow="0" w:lastRow="0" w:firstColumn="0" w:lastColumn="0" w:noHBand="0" w:noVBand="0"/>
      </w:tblPr>
      <w:tblGrid>
        <w:gridCol w:w="2235"/>
        <w:gridCol w:w="6977"/>
      </w:tblGrid>
      <w:tr w:rsidR="00E33528" w:rsidRPr="002B12EA">
        <w:trPr>
          <w:cantSplit/>
          <w:trHeight w:val="567"/>
        </w:trPr>
        <w:tc>
          <w:tcPr>
            <w:tcW w:w="9212" w:type="dxa"/>
            <w:gridSpan w:val="2"/>
          </w:tcPr>
          <w:p w:rsidR="00E33528" w:rsidRPr="002B12EA" w:rsidRDefault="00E33528">
            <w:pPr>
              <w:rPr>
                <w:rFonts w:ascii="Arial" w:hAnsi="Arial" w:cs="Arial"/>
                <w:sz w:val="22"/>
                <w:szCs w:val="22"/>
              </w:rPr>
            </w:pPr>
            <w:r w:rsidRPr="002B12EA">
              <w:rPr>
                <w:rFonts w:ascii="Arial" w:hAnsi="Arial" w:cs="Arial"/>
                <w:b/>
                <w:sz w:val="22"/>
                <w:szCs w:val="22"/>
              </w:rPr>
              <w:t>GEMEENTERAAD</w:t>
            </w:r>
            <w:r w:rsidRPr="002B12EA">
              <w:rPr>
                <w:rFonts w:ascii="Arial" w:hAnsi="Arial" w:cs="Arial"/>
                <w:b/>
                <w:sz w:val="22"/>
                <w:szCs w:val="22"/>
              </w:rPr>
              <w:tab/>
            </w:r>
          </w:p>
          <w:p w:rsidR="00E33528" w:rsidRPr="002B12EA" w:rsidRDefault="00E33528">
            <w:pPr>
              <w:rPr>
                <w:rFonts w:ascii="Arial" w:hAnsi="Arial" w:cs="Arial"/>
                <w:sz w:val="22"/>
                <w:szCs w:val="22"/>
              </w:rPr>
            </w:pPr>
          </w:p>
        </w:tc>
      </w:tr>
      <w:tr w:rsidR="00E33528" w:rsidRPr="002B12EA">
        <w:trPr>
          <w:cantSplit/>
          <w:trHeight w:val="567"/>
        </w:trPr>
        <w:tc>
          <w:tcPr>
            <w:tcW w:w="2235" w:type="dxa"/>
          </w:tcPr>
          <w:p w:rsidR="00E33528" w:rsidRPr="002B12EA" w:rsidRDefault="00E33528">
            <w:pPr>
              <w:rPr>
                <w:rFonts w:ascii="Arial" w:hAnsi="Arial" w:cs="Arial"/>
                <w:sz w:val="22"/>
                <w:szCs w:val="22"/>
              </w:rPr>
            </w:pPr>
            <w:r w:rsidRPr="002B12EA">
              <w:rPr>
                <w:rFonts w:ascii="Arial" w:hAnsi="Arial" w:cs="Arial"/>
                <w:sz w:val="22"/>
                <w:szCs w:val="22"/>
              </w:rPr>
              <w:t>Naar aanleiding van</w:t>
            </w:r>
          </w:p>
        </w:tc>
        <w:tc>
          <w:tcPr>
            <w:tcW w:w="6977" w:type="dxa"/>
          </w:tcPr>
          <w:p w:rsidR="0016118C" w:rsidRPr="002B12EA" w:rsidRDefault="003C192E" w:rsidP="003C192E">
            <w:pPr>
              <w:pStyle w:val="Lijst"/>
              <w:spacing w:after="0"/>
              <w:rPr>
                <w:rFonts w:ascii="Arial" w:hAnsi="Arial" w:cs="Arial"/>
                <w:sz w:val="22"/>
                <w:szCs w:val="22"/>
              </w:rPr>
            </w:pPr>
            <w:r>
              <w:rPr>
                <w:rFonts w:ascii="Arial" w:hAnsi="Arial" w:cs="Arial"/>
                <w:sz w:val="22"/>
                <w:szCs w:val="22"/>
              </w:rPr>
              <w:t>Commissie Bestuur en Middelen van 25 juni 2015</w:t>
            </w:r>
          </w:p>
        </w:tc>
      </w:tr>
      <w:tr w:rsidR="00E33528" w:rsidRPr="002B12EA">
        <w:trPr>
          <w:cantSplit/>
          <w:trHeight w:val="567"/>
        </w:trPr>
        <w:tc>
          <w:tcPr>
            <w:tcW w:w="2235" w:type="dxa"/>
          </w:tcPr>
          <w:p w:rsidR="00E33528" w:rsidRPr="002B12EA" w:rsidRDefault="00E33528">
            <w:pPr>
              <w:rPr>
                <w:rFonts w:ascii="Arial" w:hAnsi="Arial" w:cs="Arial"/>
                <w:sz w:val="22"/>
                <w:szCs w:val="22"/>
              </w:rPr>
            </w:pPr>
            <w:r w:rsidRPr="002B12EA">
              <w:rPr>
                <w:rFonts w:ascii="Arial" w:hAnsi="Arial" w:cs="Arial"/>
                <w:sz w:val="22"/>
                <w:szCs w:val="22"/>
              </w:rPr>
              <w:t>Onderwerp</w:t>
            </w:r>
          </w:p>
        </w:tc>
        <w:tc>
          <w:tcPr>
            <w:tcW w:w="6977" w:type="dxa"/>
          </w:tcPr>
          <w:p w:rsidR="00E33528" w:rsidRPr="002B12EA" w:rsidRDefault="003C192E" w:rsidP="003C192E">
            <w:pPr>
              <w:pStyle w:val="Lijst"/>
              <w:spacing w:after="0"/>
              <w:rPr>
                <w:rFonts w:ascii="Arial" w:hAnsi="Arial" w:cs="Arial"/>
                <w:sz w:val="22"/>
                <w:szCs w:val="22"/>
              </w:rPr>
            </w:pPr>
            <w:r>
              <w:rPr>
                <w:rFonts w:ascii="Arial" w:hAnsi="Arial" w:cs="Arial"/>
                <w:sz w:val="22"/>
                <w:szCs w:val="22"/>
              </w:rPr>
              <w:t xml:space="preserve">Voorstel tot uitruil gronden tussen de gemeente en </w:t>
            </w:r>
            <w:r w:rsidR="00277DFB">
              <w:rPr>
                <w:rFonts w:ascii="Arial" w:hAnsi="Arial" w:cs="Arial"/>
                <w:sz w:val="22"/>
                <w:szCs w:val="22"/>
              </w:rPr>
              <w:t>a</w:t>
            </w:r>
            <w:r>
              <w:rPr>
                <w:rFonts w:ascii="Arial" w:hAnsi="Arial" w:cs="Arial"/>
                <w:sz w:val="22"/>
                <w:szCs w:val="22"/>
              </w:rPr>
              <w:t>annemersbedrijf Van der Poel B.V.</w:t>
            </w:r>
          </w:p>
        </w:tc>
      </w:tr>
      <w:tr w:rsidR="00E33528" w:rsidRPr="002B12EA">
        <w:trPr>
          <w:cantSplit/>
          <w:trHeight w:val="567"/>
        </w:trPr>
        <w:tc>
          <w:tcPr>
            <w:tcW w:w="2235" w:type="dxa"/>
          </w:tcPr>
          <w:p w:rsidR="00E33528" w:rsidRPr="002B12EA" w:rsidRDefault="00E33528">
            <w:pPr>
              <w:rPr>
                <w:rFonts w:ascii="Arial" w:hAnsi="Arial" w:cs="Arial"/>
                <w:sz w:val="22"/>
                <w:szCs w:val="22"/>
              </w:rPr>
            </w:pPr>
          </w:p>
        </w:tc>
        <w:tc>
          <w:tcPr>
            <w:tcW w:w="6977" w:type="dxa"/>
          </w:tcPr>
          <w:p w:rsidR="00E33528" w:rsidRPr="002B12EA" w:rsidRDefault="00E33528">
            <w:pPr>
              <w:rPr>
                <w:rFonts w:ascii="Arial" w:hAnsi="Arial" w:cs="Arial"/>
                <w:sz w:val="22"/>
                <w:szCs w:val="22"/>
              </w:rPr>
            </w:pPr>
            <w:r w:rsidRPr="002B12EA">
              <w:rPr>
                <w:rFonts w:ascii="Arial" w:hAnsi="Arial" w:cs="Arial"/>
                <w:sz w:val="22"/>
                <w:szCs w:val="22"/>
              </w:rPr>
              <w:t xml:space="preserve">De </w:t>
            </w:r>
            <w:r w:rsidR="000A6B5F">
              <w:rPr>
                <w:rFonts w:ascii="Arial" w:hAnsi="Arial" w:cs="Arial"/>
                <w:sz w:val="22"/>
                <w:szCs w:val="22"/>
              </w:rPr>
              <w:t>R</w:t>
            </w:r>
            <w:r w:rsidRPr="002B12EA">
              <w:rPr>
                <w:rFonts w:ascii="Arial" w:hAnsi="Arial" w:cs="Arial"/>
                <w:sz w:val="22"/>
                <w:szCs w:val="22"/>
              </w:rPr>
              <w:t xml:space="preserve">aad van de gemeente Terneuzen in de vergadering bijeen d.d. , </w:t>
            </w:r>
            <w:r w:rsidR="003C192E">
              <w:rPr>
                <w:rFonts w:ascii="Arial" w:hAnsi="Arial" w:cs="Arial"/>
                <w:sz w:val="22"/>
                <w:szCs w:val="22"/>
              </w:rPr>
              <w:t>7 juli 2015</w:t>
            </w:r>
          </w:p>
          <w:p w:rsidR="00E33528" w:rsidRPr="002B12EA" w:rsidRDefault="00E33528">
            <w:pPr>
              <w:rPr>
                <w:rFonts w:ascii="Arial" w:hAnsi="Arial" w:cs="Arial"/>
                <w:sz w:val="22"/>
                <w:szCs w:val="22"/>
              </w:rPr>
            </w:pPr>
          </w:p>
        </w:tc>
      </w:tr>
      <w:tr w:rsidR="00E33528" w:rsidRPr="002B12EA">
        <w:trPr>
          <w:cantSplit/>
          <w:trHeight w:val="567"/>
        </w:trPr>
        <w:tc>
          <w:tcPr>
            <w:tcW w:w="2235" w:type="dxa"/>
          </w:tcPr>
          <w:p w:rsidR="00E33528" w:rsidRPr="002B12EA" w:rsidRDefault="00E33528">
            <w:pPr>
              <w:rPr>
                <w:rFonts w:ascii="Arial" w:hAnsi="Arial" w:cs="Arial"/>
                <w:sz w:val="22"/>
                <w:szCs w:val="22"/>
              </w:rPr>
            </w:pPr>
          </w:p>
        </w:tc>
        <w:tc>
          <w:tcPr>
            <w:tcW w:w="6977" w:type="dxa"/>
          </w:tcPr>
          <w:p w:rsidR="00E33528" w:rsidRPr="002B12EA" w:rsidRDefault="00E33528">
            <w:pPr>
              <w:rPr>
                <w:rFonts w:ascii="Arial" w:hAnsi="Arial" w:cs="Arial"/>
                <w:sz w:val="22"/>
                <w:szCs w:val="22"/>
              </w:rPr>
            </w:pPr>
            <w:r w:rsidRPr="002B12EA">
              <w:rPr>
                <w:rFonts w:ascii="Arial" w:hAnsi="Arial" w:cs="Arial"/>
                <w:sz w:val="22"/>
                <w:szCs w:val="22"/>
              </w:rPr>
              <w:t xml:space="preserve">gelet op artikel </w:t>
            </w:r>
          </w:p>
          <w:p w:rsidR="00E33528" w:rsidRPr="002B12EA" w:rsidRDefault="00E33528">
            <w:pPr>
              <w:rPr>
                <w:rFonts w:ascii="Arial" w:hAnsi="Arial" w:cs="Arial"/>
                <w:sz w:val="22"/>
                <w:szCs w:val="22"/>
              </w:rPr>
            </w:pPr>
          </w:p>
        </w:tc>
      </w:tr>
      <w:tr w:rsidR="00E33528" w:rsidRPr="002B12EA">
        <w:trPr>
          <w:cantSplit/>
          <w:trHeight w:val="567"/>
        </w:trPr>
        <w:tc>
          <w:tcPr>
            <w:tcW w:w="2235" w:type="dxa"/>
          </w:tcPr>
          <w:p w:rsidR="00E33528" w:rsidRPr="002B12EA" w:rsidRDefault="00E33528">
            <w:pPr>
              <w:rPr>
                <w:rFonts w:ascii="Arial" w:hAnsi="Arial" w:cs="Arial"/>
                <w:sz w:val="22"/>
                <w:szCs w:val="22"/>
              </w:rPr>
            </w:pPr>
          </w:p>
        </w:tc>
        <w:tc>
          <w:tcPr>
            <w:tcW w:w="6977" w:type="dxa"/>
          </w:tcPr>
          <w:p w:rsidR="00E33528" w:rsidRDefault="00E33528">
            <w:pPr>
              <w:rPr>
                <w:rFonts w:ascii="Arial" w:hAnsi="Arial" w:cs="Arial"/>
                <w:sz w:val="22"/>
                <w:szCs w:val="22"/>
              </w:rPr>
            </w:pPr>
            <w:r w:rsidRPr="002B12EA">
              <w:rPr>
                <w:rFonts w:ascii="Arial" w:hAnsi="Arial" w:cs="Arial"/>
                <w:sz w:val="22"/>
                <w:szCs w:val="22"/>
              </w:rPr>
              <w:t>stelt ondergetekende voor de navolgende wensen of bedenkingen in te brengen:</w:t>
            </w:r>
          </w:p>
          <w:p w:rsidR="0016118C" w:rsidRPr="002B12EA" w:rsidRDefault="0016118C">
            <w:pPr>
              <w:rPr>
                <w:rFonts w:ascii="Arial" w:hAnsi="Arial" w:cs="Arial"/>
                <w:sz w:val="22"/>
                <w:szCs w:val="22"/>
              </w:rPr>
            </w:pPr>
          </w:p>
          <w:p w:rsidR="00E33528" w:rsidRPr="002B12EA" w:rsidRDefault="00E33528">
            <w:pPr>
              <w:rPr>
                <w:rFonts w:ascii="Arial" w:hAnsi="Arial" w:cs="Arial"/>
                <w:sz w:val="22"/>
                <w:szCs w:val="22"/>
              </w:rPr>
            </w:pPr>
          </w:p>
        </w:tc>
      </w:tr>
      <w:tr w:rsidR="00E33528" w:rsidRPr="002B12EA">
        <w:trPr>
          <w:cantSplit/>
          <w:trHeight w:val="567"/>
        </w:trPr>
        <w:tc>
          <w:tcPr>
            <w:tcW w:w="2235" w:type="dxa"/>
          </w:tcPr>
          <w:p w:rsidR="0016118C" w:rsidRDefault="00E33528">
            <w:pPr>
              <w:rPr>
                <w:rFonts w:ascii="Arial" w:hAnsi="Arial" w:cs="Arial"/>
                <w:sz w:val="22"/>
                <w:szCs w:val="22"/>
              </w:rPr>
            </w:pPr>
            <w:r w:rsidRPr="002B12EA">
              <w:rPr>
                <w:rFonts w:ascii="Arial" w:hAnsi="Arial" w:cs="Arial"/>
                <w:sz w:val="22"/>
                <w:szCs w:val="22"/>
              </w:rPr>
              <w:lastRenderedPageBreak/>
              <w:t xml:space="preserve">Tekst wensen / </w:t>
            </w:r>
          </w:p>
          <w:p w:rsidR="00E33528" w:rsidRDefault="0016118C">
            <w:pPr>
              <w:rPr>
                <w:rFonts w:ascii="Arial" w:hAnsi="Arial" w:cs="Arial"/>
                <w:sz w:val="22"/>
                <w:szCs w:val="22"/>
              </w:rPr>
            </w:pPr>
            <w:r w:rsidRPr="002B12EA">
              <w:rPr>
                <w:rFonts w:ascii="Arial" w:hAnsi="Arial" w:cs="Arial"/>
                <w:sz w:val="22"/>
                <w:szCs w:val="22"/>
              </w:rPr>
              <w:t>B</w:t>
            </w:r>
            <w:r w:rsidR="00E33528" w:rsidRPr="002B12EA">
              <w:rPr>
                <w:rFonts w:ascii="Arial" w:hAnsi="Arial" w:cs="Arial"/>
                <w:sz w:val="22"/>
                <w:szCs w:val="22"/>
              </w:rPr>
              <w:t>edenkingen</w:t>
            </w:r>
          </w:p>
          <w:p w:rsidR="0016118C" w:rsidRPr="002B12EA" w:rsidRDefault="0016118C">
            <w:pPr>
              <w:rPr>
                <w:rFonts w:ascii="Arial" w:hAnsi="Arial" w:cs="Arial"/>
                <w:sz w:val="22"/>
                <w:szCs w:val="22"/>
              </w:rPr>
            </w:pPr>
          </w:p>
        </w:tc>
        <w:tc>
          <w:tcPr>
            <w:tcW w:w="6977" w:type="dxa"/>
          </w:tcPr>
          <w:p w:rsidR="00E33528" w:rsidRDefault="003C192E" w:rsidP="003C192E">
            <w:pPr>
              <w:rPr>
                <w:rFonts w:ascii="Arial" w:hAnsi="Arial" w:cs="Arial"/>
                <w:sz w:val="22"/>
                <w:szCs w:val="22"/>
              </w:rPr>
            </w:pPr>
            <w:r>
              <w:rPr>
                <w:rFonts w:ascii="Arial" w:hAnsi="Arial" w:cs="Arial"/>
                <w:sz w:val="22"/>
                <w:szCs w:val="22"/>
              </w:rPr>
              <w:t>Het bestuur van de gemeente Terneuzen wordt geconfronteerd met een schadeclaim van Van der Poel i.v.m. de verkoop van bouwgrond op het Kanaaleiland in Sas van Gent, waarvan achteraf is gebleken dat hier niet gebouwd mag worden. Van der Poel heeft dus “een kat in de zak” gekocht.</w:t>
            </w:r>
          </w:p>
          <w:p w:rsidR="003C192E" w:rsidRDefault="003C192E" w:rsidP="003C192E">
            <w:pPr>
              <w:rPr>
                <w:rFonts w:ascii="Arial" w:hAnsi="Arial" w:cs="Arial"/>
                <w:sz w:val="22"/>
                <w:szCs w:val="22"/>
              </w:rPr>
            </w:pPr>
            <w:r>
              <w:rPr>
                <w:rFonts w:ascii="Arial" w:hAnsi="Arial" w:cs="Arial"/>
                <w:sz w:val="22"/>
                <w:szCs w:val="22"/>
              </w:rPr>
              <w:t xml:space="preserve">Het College is van mening dat Van der Poel hier mogelijk een punt heeft en heeft besloten met Van der Poel om de tafel te gaan zitten ten einde te bezien of er in goed overleg een gezamenlijke oplossing is te vinden. Dit is </w:t>
            </w:r>
            <w:r w:rsidR="00237C53">
              <w:rPr>
                <w:rFonts w:ascii="Arial" w:hAnsi="Arial" w:cs="Arial"/>
                <w:sz w:val="22"/>
                <w:szCs w:val="22"/>
              </w:rPr>
              <w:t xml:space="preserve">meestal </w:t>
            </w:r>
            <w:r>
              <w:rPr>
                <w:rFonts w:ascii="Arial" w:hAnsi="Arial" w:cs="Arial"/>
                <w:sz w:val="22"/>
                <w:szCs w:val="22"/>
              </w:rPr>
              <w:t>verstandig.</w:t>
            </w:r>
          </w:p>
          <w:p w:rsidR="003C192E" w:rsidRDefault="000B58D3" w:rsidP="003C192E">
            <w:pPr>
              <w:rPr>
                <w:rFonts w:ascii="Arial" w:hAnsi="Arial" w:cs="Arial"/>
                <w:sz w:val="22"/>
                <w:szCs w:val="22"/>
              </w:rPr>
            </w:pPr>
            <w:r>
              <w:rPr>
                <w:rFonts w:ascii="Arial" w:hAnsi="Arial" w:cs="Arial"/>
                <w:sz w:val="22"/>
                <w:szCs w:val="22"/>
              </w:rPr>
              <w:t>Dit heeft geresulteerd in een overeenkomst, die zo op het oog gunstig zou zijn voor beide partijen. Het profijt voor de gemeente is in boekhoudkundige zin positief.</w:t>
            </w:r>
          </w:p>
          <w:p w:rsidR="000B58D3" w:rsidRDefault="000B58D3" w:rsidP="003C192E">
            <w:pPr>
              <w:rPr>
                <w:rFonts w:ascii="Arial" w:hAnsi="Arial" w:cs="Arial"/>
                <w:sz w:val="22"/>
                <w:szCs w:val="22"/>
              </w:rPr>
            </w:pPr>
            <w:r>
              <w:rPr>
                <w:rFonts w:ascii="Arial" w:hAnsi="Arial" w:cs="Arial"/>
                <w:sz w:val="22"/>
                <w:szCs w:val="22"/>
              </w:rPr>
              <w:t>Wann</w:t>
            </w:r>
            <w:r w:rsidR="00E47560">
              <w:rPr>
                <w:rFonts w:ascii="Arial" w:hAnsi="Arial" w:cs="Arial"/>
                <w:sz w:val="22"/>
                <w:szCs w:val="22"/>
              </w:rPr>
              <w:t>e</w:t>
            </w:r>
            <w:r>
              <w:rPr>
                <w:rFonts w:ascii="Arial" w:hAnsi="Arial" w:cs="Arial"/>
                <w:sz w:val="22"/>
                <w:szCs w:val="22"/>
              </w:rPr>
              <w:t>er we puur zakelijk naar deze overeenkomst gaan kijken, dan heeft D66 toch wel een fors aantal bezwaren.</w:t>
            </w:r>
          </w:p>
          <w:p w:rsidR="000B58D3" w:rsidRDefault="000B58D3" w:rsidP="003C192E">
            <w:pPr>
              <w:rPr>
                <w:rFonts w:ascii="Arial" w:hAnsi="Arial" w:cs="Arial"/>
                <w:sz w:val="22"/>
                <w:szCs w:val="22"/>
              </w:rPr>
            </w:pPr>
          </w:p>
          <w:p w:rsidR="000B58D3" w:rsidRDefault="000B58D3" w:rsidP="001D6D13">
            <w:pPr>
              <w:rPr>
                <w:rFonts w:ascii="Arial" w:hAnsi="Arial" w:cs="Arial"/>
                <w:sz w:val="22"/>
                <w:szCs w:val="22"/>
              </w:rPr>
            </w:pPr>
            <w:r>
              <w:rPr>
                <w:rFonts w:ascii="Arial" w:hAnsi="Arial" w:cs="Arial"/>
                <w:sz w:val="22"/>
                <w:szCs w:val="22"/>
              </w:rPr>
              <w:t>Van der Poel is vóór dat de bouwvergunning definitief was</w:t>
            </w:r>
            <w:r w:rsidR="000A6B5F">
              <w:rPr>
                <w:rFonts w:ascii="Arial" w:hAnsi="Arial" w:cs="Arial"/>
                <w:sz w:val="22"/>
                <w:szCs w:val="22"/>
              </w:rPr>
              <w:t>,</w:t>
            </w:r>
            <w:r>
              <w:rPr>
                <w:rFonts w:ascii="Arial" w:hAnsi="Arial" w:cs="Arial"/>
                <w:sz w:val="22"/>
                <w:szCs w:val="22"/>
              </w:rPr>
              <w:t xml:space="preserve"> gaan bouwen. Voor eigen rekening en risico dus. Het opruimen, dan wel geschikt maken voor ander gebruik van de betonplaat en staketsels die nu meer dan 15 jaar het Eiland ontsier</w:t>
            </w:r>
            <w:r w:rsidR="000A6B5F">
              <w:rPr>
                <w:rFonts w:ascii="Arial" w:hAnsi="Arial" w:cs="Arial"/>
                <w:sz w:val="22"/>
                <w:szCs w:val="22"/>
              </w:rPr>
              <w:t>en, maken</w:t>
            </w:r>
            <w:r>
              <w:rPr>
                <w:rFonts w:ascii="Arial" w:hAnsi="Arial" w:cs="Arial"/>
                <w:sz w:val="22"/>
                <w:szCs w:val="22"/>
              </w:rPr>
              <w:t xml:space="preserve"> geen onderdeel uit van deze overeenkomst en komen dus voor </w:t>
            </w:r>
            <w:r w:rsidR="007C794C">
              <w:rPr>
                <w:rFonts w:ascii="Arial" w:hAnsi="Arial" w:cs="Arial"/>
                <w:sz w:val="22"/>
                <w:szCs w:val="22"/>
              </w:rPr>
              <w:t>rekening</w:t>
            </w:r>
            <w:r>
              <w:rPr>
                <w:rFonts w:ascii="Arial" w:hAnsi="Arial" w:cs="Arial"/>
                <w:sz w:val="22"/>
                <w:szCs w:val="22"/>
              </w:rPr>
              <w:t xml:space="preserve"> van onze gemeente. Hoe hoog die kosten zijn, weten we niet.</w:t>
            </w:r>
          </w:p>
          <w:p w:rsidR="001D6D13" w:rsidRDefault="001D6D13" w:rsidP="007C794C">
            <w:pPr>
              <w:rPr>
                <w:rFonts w:ascii="Arial" w:hAnsi="Arial" w:cs="Arial"/>
                <w:sz w:val="22"/>
                <w:szCs w:val="22"/>
              </w:rPr>
            </w:pPr>
          </w:p>
          <w:p w:rsidR="007C794C" w:rsidRDefault="00237C53" w:rsidP="007C794C">
            <w:pPr>
              <w:rPr>
                <w:rFonts w:ascii="Arial" w:hAnsi="Arial" w:cs="Arial"/>
                <w:sz w:val="22"/>
                <w:szCs w:val="22"/>
              </w:rPr>
            </w:pPr>
            <w:r>
              <w:rPr>
                <w:rFonts w:ascii="Arial" w:hAnsi="Arial" w:cs="Arial"/>
                <w:sz w:val="22"/>
                <w:szCs w:val="22"/>
              </w:rPr>
              <w:t>Hoe hoog de k</w:t>
            </w:r>
            <w:r w:rsidR="007C794C">
              <w:rPr>
                <w:rFonts w:ascii="Arial" w:hAnsi="Arial" w:cs="Arial"/>
                <w:sz w:val="22"/>
                <w:szCs w:val="22"/>
              </w:rPr>
              <w:t>osten ten gevolge van BTW, leges en overdrachtsbelasting zijn</w:t>
            </w:r>
            <w:r>
              <w:rPr>
                <w:rFonts w:ascii="Arial" w:hAnsi="Arial" w:cs="Arial"/>
                <w:sz w:val="22"/>
                <w:szCs w:val="22"/>
              </w:rPr>
              <w:t>, weten we niet.</w:t>
            </w:r>
          </w:p>
          <w:p w:rsidR="001D6D13" w:rsidRDefault="001D6D13" w:rsidP="00972135">
            <w:pPr>
              <w:rPr>
                <w:rFonts w:ascii="Arial" w:hAnsi="Arial" w:cs="Arial"/>
                <w:sz w:val="22"/>
                <w:szCs w:val="22"/>
              </w:rPr>
            </w:pPr>
          </w:p>
          <w:p w:rsidR="007C794C" w:rsidRDefault="007C794C" w:rsidP="00972135">
            <w:pPr>
              <w:rPr>
                <w:rFonts w:ascii="Arial" w:hAnsi="Arial" w:cs="Arial"/>
                <w:sz w:val="22"/>
                <w:szCs w:val="22"/>
              </w:rPr>
            </w:pPr>
            <w:r>
              <w:rPr>
                <w:rFonts w:ascii="Arial" w:hAnsi="Arial" w:cs="Arial"/>
                <w:sz w:val="22"/>
                <w:szCs w:val="22"/>
              </w:rPr>
              <w:t>Er ontstaat een groot woningcontingent in een markt die provinciaal beperkt wordt door een opgelegd quotum</w:t>
            </w:r>
            <w:r w:rsidR="00972135">
              <w:rPr>
                <w:rFonts w:ascii="Arial" w:hAnsi="Arial" w:cs="Arial"/>
                <w:sz w:val="22"/>
                <w:szCs w:val="22"/>
              </w:rPr>
              <w:t>.</w:t>
            </w:r>
            <w:r>
              <w:rPr>
                <w:rFonts w:ascii="Arial" w:hAnsi="Arial" w:cs="Arial"/>
                <w:sz w:val="22"/>
                <w:szCs w:val="22"/>
              </w:rPr>
              <w:t xml:space="preserve"> Verder is in de overeenkomst opgenomen art.3 punt 8, dat indien (gewijzigde) bestemmingsplannen niet in werking treden partijen “met elkaar in overleg gaan om tot een oplossing te komen”.  Wij vinden dit een soort wurgcontract waarbij partijen tot in lengte van jaren aan elkaar zijn gekoppeld om tot oplossingen te komen. </w:t>
            </w:r>
            <w:r w:rsidR="00972135">
              <w:rPr>
                <w:rFonts w:ascii="Arial" w:hAnsi="Arial" w:cs="Arial"/>
                <w:sz w:val="22"/>
                <w:szCs w:val="22"/>
              </w:rPr>
              <w:t xml:space="preserve">Immers, het is kansrijk dat De Provincie i.v.m. dat quotum bezwaar aan zal tekenen tegen de geschetste plannen van Van der Poel in de overeenkomst op het moment dat die tot uitvoering komen. </w:t>
            </w:r>
            <w:r>
              <w:rPr>
                <w:rFonts w:ascii="Arial" w:hAnsi="Arial" w:cs="Arial"/>
                <w:sz w:val="22"/>
                <w:szCs w:val="22"/>
              </w:rPr>
              <w:t xml:space="preserve">Bovendien ontstaat een situatie waarbij Van der Poel wel haast een </w:t>
            </w:r>
            <w:r w:rsidR="00D906DD">
              <w:rPr>
                <w:rFonts w:ascii="Arial" w:hAnsi="Arial" w:cs="Arial"/>
                <w:sz w:val="22"/>
                <w:szCs w:val="22"/>
              </w:rPr>
              <w:t>monopolypositie</w:t>
            </w:r>
            <w:r>
              <w:rPr>
                <w:rFonts w:ascii="Arial" w:hAnsi="Arial" w:cs="Arial"/>
                <w:sz w:val="22"/>
                <w:szCs w:val="22"/>
              </w:rPr>
              <w:t xml:space="preserve"> creëert in Terneuzen. D66 vindt dat een slechte ontwikkeling.</w:t>
            </w:r>
          </w:p>
          <w:p w:rsidR="001D6D13" w:rsidRDefault="001D6D13" w:rsidP="00972135">
            <w:pPr>
              <w:rPr>
                <w:rFonts w:ascii="Arial" w:hAnsi="Arial" w:cs="Arial"/>
                <w:sz w:val="22"/>
                <w:szCs w:val="22"/>
              </w:rPr>
            </w:pPr>
          </w:p>
          <w:p w:rsidR="003378FF" w:rsidRDefault="00972135" w:rsidP="00972135">
            <w:pPr>
              <w:rPr>
                <w:rFonts w:ascii="Arial" w:hAnsi="Arial" w:cs="Arial"/>
                <w:sz w:val="22"/>
                <w:szCs w:val="22"/>
              </w:rPr>
            </w:pPr>
            <w:r>
              <w:rPr>
                <w:rFonts w:ascii="Arial" w:hAnsi="Arial" w:cs="Arial"/>
                <w:sz w:val="22"/>
                <w:szCs w:val="22"/>
              </w:rPr>
              <w:t>Dan kunnen wij ook niet gelukkig zijn met de vierkante</w:t>
            </w:r>
            <w:r w:rsidR="000A6B5F">
              <w:rPr>
                <w:rFonts w:ascii="Arial" w:hAnsi="Arial" w:cs="Arial"/>
                <w:sz w:val="22"/>
                <w:szCs w:val="22"/>
              </w:rPr>
              <w:t>-</w:t>
            </w:r>
            <w:r>
              <w:rPr>
                <w:rFonts w:ascii="Arial" w:hAnsi="Arial" w:cs="Arial"/>
                <w:sz w:val="22"/>
                <w:szCs w:val="22"/>
              </w:rPr>
              <w:t>meter</w:t>
            </w:r>
            <w:r w:rsidR="000A6B5F">
              <w:rPr>
                <w:rFonts w:ascii="Arial" w:hAnsi="Arial" w:cs="Arial"/>
                <w:sz w:val="22"/>
                <w:szCs w:val="22"/>
              </w:rPr>
              <w:t>-</w:t>
            </w:r>
            <w:r>
              <w:rPr>
                <w:rFonts w:ascii="Arial" w:hAnsi="Arial" w:cs="Arial"/>
                <w:sz w:val="22"/>
                <w:szCs w:val="22"/>
              </w:rPr>
              <w:t xml:space="preserve">prijzen die zijn bedongen. Kijken we naar Handelspoort dan kopen we voor veel geld veel vierkante meters terug. In hoeverre deze zijn te vermarkten, is zeer de vraag. </w:t>
            </w:r>
            <w:r w:rsidR="00005F03">
              <w:rPr>
                <w:rFonts w:ascii="Arial" w:hAnsi="Arial" w:cs="Arial"/>
                <w:sz w:val="22"/>
                <w:szCs w:val="22"/>
              </w:rPr>
              <w:t>Ja, d</w:t>
            </w:r>
            <w:r>
              <w:rPr>
                <w:rFonts w:ascii="Arial" w:hAnsi="Arial" w:cs="Arial"/>
                <w:sz w:val="22"/>
                <w:szCs w:val="22"/>
              </w:rPr>
              <w:t>e economie trekt aan en er moeten bedrijven verdwijnen bij de nieuwe sluis.</w:t>
            </w:r>
            <w:r w:rsidR="003378FF">
              <w:rPr>
                <w:rFonts w:ascii="Arial" w:hAnsi="Arial" w:cs="Arial"/>
                <w:sz w:val="22"/>
                <w:szCs w:val="22"/>
              </w:rPr>
              <w:t xml:space="preserve"> Dit zijn voor het merendeel havengebonden bedrijven die niet veel trek zullen hebben hun negotie te gaan bedrijven op grote afstand van dat water</w:t>
            </w:r>
            <w:r w:rsidR="00005F03">
              <w:rPr>
                <w:rFonts w:ascii="Arial" w:hAnsi="Arial" w:cs="Arial"/>
                <w:sz w:val="22"/>
                <w:szCs w:val="22"/>
              </w:rPr>
              <w:t>. En verder  is er een grote leegstand op bedrijventerreinen in Zeeuws Vlaanderen.</w:t>
            </w:r>
          </w:p>
          <w:p w:rsidR="00972135" w:rsidRDefault="003378FF" w:rsidP="00972135">
            <w:pPr>
              <w:rPr>
                <w:rFonts w:ascii="Arial" w:hAnsi="Arial" w:cs="Arial"/>
                <w:sz w:val="22"/>
                <w:szCs w:val="22"/>
              </w:rPr>
            </w:pPr>
            <w:r>
              <w:rPr>
                <w:rFonts w:ascii="Arial" w:hAnsi="Arial" w:cs="Arial"/>
                <w:sz w:val="22"/>
                <w:szCs w:val="22"/>
              </w:rPr>
              <w:t>De vierkante</w:t>
            </w:r>
            <w:r w:rsidR="000A6B5F">
              <w:rPr>
                <w:rFonts w:ascii="Arial" w:hAnsi="Arial" w:cs="Arial"/>
                <w:sz w:val="22"/>
                <w:szCs w:val="22"/>
              </w:rPr>
              <w:t>-</w:t>
            </w:r>
            <w:r>
              <w:rPr>
                <w:rFonts w:ascii="Arial" w:hAnsi="Arial" w:cs="Arial"/>
                <w:sz w:val="22"/>
                <w:szCs w:val="22"/>
              </w:rPr>
              <w:t xml:space="preserve">meterprijs voor De Emmabaan ( </w:t>
            </w:r>
            <w:r w:rsidR="00D906DD">
              <w:rPr>
                <w:rFonts w:ascii="Arial" w:hAnsi="Arial" w:cs="Arial"/>
                <w:sz w:val="22"/>
                <w:szCs w:val="22"/>
              </w:rPr>
              <w:t xml:space="preserve">E24 </w:t>
            </w:r>
            <w:r>
              <w:rPr>
                <w:rFonts w:ascii="Arial" w:hAnsi="Arial" w:cs="Arial"/>
                <w:sz w:val="22"/>
                <w:szCs w:val="22"/>
              </w:rPr>
              <w:t xml:space="preserve">m”) is ronduit verbijsterend laag. Wij kunnen ons voorstellen dat de </w:t>
            </w:r>
            <w:r w:rsidR="000A6B5F">
              <w:rPr>
                <w:rFonts w:ascii="Arial" w:hAnsi="Arial" w:cs="Arial"/>
                <w:sz w:val="22"/>
                <w:szCs w:val="22"/>
              </w:rPr>
              <w:t>c</w:t>
            </w:r>
            <w:r>
              <w:rPr>
                <w:rFonts w:ascii="Arial" w:hAnsi="Arial" w:cs="Arial"/>
                <w:sz w:val="22"/>
                <w:szCs w:val="22"/>
              </w:rPr>
              <w:t>hampagneflessen gaan knallen bij Van der Poel indien ze voor deze prijs zoveel bouwgrond kunnen verwerven..</w:t>
            </w:r>
          </w:p>
          <w:p w:rsidR="00ED5C69" w:rsidRDefault="00ED5C69" w:rsidP="00972135">
            <w:pPr>
              <w:rPr>
                <w:rFonts w:ascii="Arial" w:hAnsi="Arial" w:cs="Arial"/>
                <w:sz w:val="22"/>
                <w:szCs w:val="22"/>
              </w:rPr>
            </w:pPr>
          </w:p>
          <w:p w:rsidR="00277DFB" w:rsidRDefault="00ED5C69" w:rsidP="00972135">
            <w:pPr>
              <w:rPr>
                <w:rFonts w:ascii="Arial" w:hAnsi="Arial" w:cs="Arial"/>
                <w:sz w:val="22"/>
                <w:szCs w:val="22"/>
              </w:rPr>
            </w:pPr>
            <w:r>
              <w:rPr>
                <w:rFonts w:ascii="Arial" w:hAnsi="Arial" w:cs="Arial"/>
                <w:sz w:val="22"/>
                <w:szCs w:val="22"/>
              </w:rPr>
              <w:t xml:space="preserve">Ons grootste bezwaar is </w:t>
            </w:r>
            <w:r w:rsidR="00277DFB">
              <w:rPr>
                <w:rFonts w:ascii="Arial" w:hAnsi="Arial" w:cs="Arial"/>
                <w:sz w:val="22"/>
                <w:szCs w:val="22"/>
              </w:rPr>
              <w:t xml:space="preserve">echter </w:t>
            </w:r>
            <w:r>
              <w:rPr>
                <w:rFonts w:ascii="Arial" w:hAnsi="Arial" w:cs="Arial"/>
                <w:sz w:val="22"/>
                <w:szCs w:val="22"/>
              </w:rPr>
              <w:t xml:space="preserve">het volgende. </w:t>
            </w:r>
          </w:p>
          <w:p w:rsidR="00ED5C69" w:rsidRDefault="00ED5C69" w:rsidP="00972135">
            <w:pPr>
              <w:rPr>
                <w:rFonts w:ascii="Arial" w:hAnsi="Arial" w:cs="Arial"/>
                <w:sz w:val="22"/>
                <w:szCs w:val="22"/>
              </w:rPr>
            </w:pPr>
            <w:r>
              <w:rPr>
                <w:rFonts w:ascii="Arial" w:hAnsi="Arial" w:cs="Arial"/>
                <w:sz w:val="22"/>
                <w:szCs w:val="22"/>
              </w:rPr>
              <w:t xml:space="preserve">Politiek is keuzes maken. Hier tussen 2 variabelen. Enerzijds de schadeclaim van Van der Poel en anderzijds de gezamenlijk </w:t>
            </w:r>
            <w:r w:rsidR="00277DFB">
              <w:rPr>
                <w:rFonts w:ascii="Arial" w:hAnsi="Arial" w:cs="Arial"/>
                <w:sz w:val="22"/>
                <w:szCs w:val="22"/>
              </w:rPr>
              <w:t>opgestelde</w:t>
            </w:r>
            <w:r>
              <w:rPr>
                <w:rFonts w:ascii="Arial" w:hAnsi="Arial" w:cs="Arial"/>
                <w:sz w:val="22"/>
                <w:szCs w:val="22"/>
              </w:rPr>
              <w:t xml:space="preserve"> overeenkomst.</w:t>
            </w:r>
          </w:p>
          <w:p w:rsidR="00277DFB" w:rsidRDefault="00277DFB" w:rsidP="00972135">
            <w:pPr>
              <w:rPr>
                <w:rFonts w:ascii="Arial" w:hAnsi="Arial" w:cs="Arial"/>
                <w:sz w:val="22"/>
                <w:szCs w:val="22"/>
              </w:rPr>
            </w:pPr>
            <w:r>
              <w:rPr>
                <w:rFonts w:ascii="Arial" w:hAnsi="Arial" w:cs="Arial"/>
                <w:sz w:val="22"/>
                <w:szCs w:val="22"/>
              </w:rPr>
              <w:t>.</w:t>
            </w:r>
          </w:p>
          <w:p w:rsidR="00277DFB" w:rsidRPr="002B12EA" w:rsidRDefault="00277DFB" w:rsidP="00972135">
            <w:pPr>
              <w:rPr>
                <w:rFonts w:ascii="Arial" w:hAnsi="Arial" w:cs="Arial"/>
                <w:sz w:val="22"/>
                <w:szCs w:val="22"/>
              </w:rPr>
            </w:pPr>
          </w:p>
        </w:tc>
        <w:bookmarkStart w:id="3" w:name="_GoBack"/>
        <w:bookmarkEnd w:id="3"/>
      </w:tr>
      <w:tr w:rsidR="00E33528" w:rsidRPr="002B12EA">
        <w:trPr>
          <w:cantSplit/>
          <w:trHeight w:val="567"/>
        </w:trPr>
        <w:tc>
          <w:tcPr>
            <w:tcW w:w="2235" w:type="dxa"/>
          </w:tcPr>
          <w:p w:rsidR="00982518" w:rsidRDefault="00982518">
            <w:pPr>
              <w:rPr>
                <w:rFonts w:ascii="Arial" w:hAnsi="Arial" w:cs="Arial"/>
                <w:sz w:val="22"/>
                <w:szCs w:val="22"/>
              </w:rPr>
            </w:pPr>
          </w:p>
          <w:p w:rsidR="00982518" w:rsidRDefault="00982518">
            <w:pPr>
              <w:rPr>
                <w:rFonts w:ascii="Arial" w:hAnsi="Arial" w:cs="Arial"/>
                <w:sz w:val="22"/>
                <w:szCs w:val="22"/>
              </w:rPr>
            </w:pPr>
          </w:p>
          <w:p w:rsidR="00982518" w:rsidRDefault="00982518">
            <w:pPr>
              <w:rPr>
                <w:rFonts w:ascii="Arial" w:hAnsi="Arial" w:cs="Arial"/>
                <w:sz w:val="22"/>
                <w:szCs w:val="22"/>
              </w:rPr>
            </w:pPr>
          </w:p>
          <w:p w:rsidR="00982518" w:rsidRDefault="00982518">
            <w:pPr>
              <w:rPr>
                <w:rFonts w:ascii="Arial" w:hAnsi="Arial" w:cs="Arial"/>
                <w:sz w:val="22"/>
                <w:szCs w:val="22"/>
              </w:rPr>
            </w:pPr>
          </w:p>
          <w:p w:rsidR="00982518" w:rsidRDefault="00982518">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005F03" w:rsidRDefault="00005F03">
            <w:pPr>
              <w:rPr>
                <w:rFonts w:ascii="Arial" w:hAnsi="Arial" w:cs="Arial"/>
                <w:sz w:val="22"/>
                <w:szCs w:val="22"/>
              </w:rPr>
            </w:pPr>
          </w:p>
          <w:p w:rsidR="002A7E82" w:rsidRDefault="002A7E82">
            <w:pPr>
              <w:rPr>
                <w:rFonts w:ascii="Arial" w:hAnsi="Arial" w:cs="Arial"/>
                <w:sz w:val="22"/>
                <w:szCs w:val="22"/>
              </w:rPr>
            </w:pPr>
          </w:p>
          <w:p w:rsidR="00AE4123" w:rsidRDefault="00AE4123">
            <w:pPr>
              <w:rPr>
                <w:rFonts w:ascii="Arial" w:hAnsi="Arial" w:cs="Arial"/>
                <w:sz w:val="22"/>
                <w:szCs w:val="22"/>
              </w:rPr>
            </w:pPr>
          </w:p>
          <w:p w:rsidR="00AE4123" w:rsidRDefault="00AE4123">
            <w:pPr>
              <w:rPr>
                <w:rFonts w:ascii="Arial" w:hAnsi="Arial" w:cs="Arial"/>
                <w:sz w:val="22"/>
                <w:szCs w:val="22"/>
              </w:rPr>
            </w:pPr>
          </w:p>
          <w:p w:rsidR="00AE4123" w:rsidRDefault="00AE4123">
            <w:pPr>
              <w:rPr>
                <w:rFonts w:ascii="Arial" w:hAnsi="Arial" w:cs="Arial"/>
                <w:sz w:val="22"/>
                <w:szCs w:val="22"/>
              </w:rPr>
            </w:pPr>
          </w:p>
          <w:p w:rsidR="00AE4123" w:rsidRDefault="00AE4123">
            <w:pPr>
              <w:rPr>
                <w:rFonts w:ascii="Arial" w:hAnsi="Arial" w:cs="Arial"/>
                <w:sz w:val="22"/>
                <w:szCs w:val="22"/>
              </w:rPr>
            </w:pPr>
          </w:p>
          <w:p w:rsidR="00AE4123" w:rsidRDefault="00AE4123">
            <w:pPr>
              <w:rPr>
                <w:rFonts w:ascii="Arial" w:hAnsi="Arial" w:cs="Arial"/>
                <w:sz w:val="22"/>
                <w:szCs w:val="22"/>
              </w:rPr>
            </w:pPr>
          </w:p>
          <w:p w:rsidR="00AE4123" w:rsidRDefault="00AE4123">
            <w:pPr>
              <w:rPr>
                <w:rFonts w:ascii="Arial" w:hAnsi="Arial" w:cs="Arial"/>
                <w:sz w:val="22"/>
                <w:szCs w:val="22"/>
              </w:rPr>
            </w:pPr>
          </w:p>
          <w:p w:rsidR="00E33528" w:rsidRDefault="00E33528">
            <w:pPr>
              <w:rPr>
                <w:rFonts w:ascii="Arial" w:hAnsi="Arial" w:cs="Arial"/>
                <w:sz w:val="22"/>
                <w:szCs w:val="22"/>
              </w:rPr>
            </w:pPr>
            <w:r w:rsidRPr="002B12EA">
              <w:rPr>
                <w:rFonts w:ascii="Arial" w:hAnsi="Arial" w:cs="Arial"/>
                <w:sz w:val="22"/>
                <w:szCs w:val="22"/>
              </w:rPr>
              <w:t>Toelichting</w:t>
            </w:r>
          </w:p>
          <w:p w:rsidR="00982518" w:rsidRPr="002B12EA" w:rsidRDefault="00982518">
            <w:pPr>
              <w:rPr>
                <w:rFonts w:ascii="Arial" w:hAnsi="Arial" w:cs="Arial"/>
                <w:sz w:val="22"/>
                <w:szCs w:val="22"/>
              </w:rPr>
            </w:pPr>
          </w:p>
        </w:tc>
        <w:tc>
          <w:tcPr>
            <w:tcW w:w="6977" w:type="dxa"/>
          </w:tcPr>
          <w:p w:rsidR="001D6D13" w:rsidRDefault="001D6D13" w:rsidP="001D6D13">
            <w:pPr>
              <w:rPr>
                <w:rFonts w:ascii="Arial" w:hAnsi="Arial" w:cs="Arial"/>
                <w:sz w:val="22"/>
                <w:szCs w:val="22"/>
              </w:rPr>
            </w:pPr>
            <w:r>
              <w:rPr>
                <w:rFonts w:ascii="Arial" w:hAnsi="Arial" w:cs="Arial"/>
                <w:sz w:val="22"/>
                <w:szCs w:val="22"/>
              </w:rPr>
              <w:t xml:space="preserve">Om die afweging te maken, is het noodzakelijk dat de Raad weet wat de kosten zijn van elk van die 2 mogelijkheden. </w:t>
            </w:r>
          </w:p>
          <w:p w:rsidR="001D6D13" w:rsidRDefault="001D6D13" w:rsidP="001D6D13">
            <w:pPr>
              <w:rPr>
                <w:rFonts w:ascii="Arial" w:hAnsi="Arial" w:cs="Arial"/>
                <w:sz w:val="22"/>
                <w:szCs w:val="22"/>
              </w:rPr>
            </w:pPr>
            <w:r>
              <w:rPr>
                <w:rFonts w:ascii="Arial" w:hAnsi="Arial" w:cs="Arial"/>
                <w:sz w:val="22"/>
                <w:szCs w:val="22"/>
              </w:rPr>
              <w:t>En dat weten we niet.</w:t>
            </w:r>
          </w:p>
          <w:p w:rsidR="001D6D13" w:rsidRDefault="001D6D13" w:rsidP="00005F03">
            <w:pPr>
              <w:rPr>
                <w:rFonts w:ascii="Arial" w:hAnsi="Arial" w:cs="Arial"/>
                <w:sz w:val="22"/>
                <w:szCs w:val="22"/>
              </w:rPr>
            </w:pPr>
          </w:p>
          <w:p w:rsidR="00005F03" w:rsidRDefault="00005F03" w:rsidP="00005F03">
            <w:pPr>
              <w:rPr>
                <w:rFonts w:ascii="Arial" w:hAnsi="Arial" w:cs="Arial"/>
                <w:sz w:val="22"/>
                <w:szCs w:val="22"/>
              </w:rPr>
            </w:pPr>
            <w:r>
              <w:rPr>
                <w:rFonts w:ascii="Arial" w:hAnsi="Arial" w:cs="Arial"/>
                <w:sz w:val="22"/>
                <w:szCs w:val="22"/>
              </w:rPr>
              <w:t>We hebben geen idee hoe hoog die schadeclaim dan wel is, noch kennen we de argumenten op grond waarvan Van der Poel meent de hoogte van die schadeclaim te moeten funderen</w:t>
            </w:r>
          </w:p>
          <w:p w:rsidR="00E33528" w:rsidRDefault="00277DFB" w:rsidP="00005F03">
            <w:pPr>
              <w:rPr>
                <w:rFonts w:ascii="Arial" w:hAnsi="Arial" w:cs="Arial"/>
                <w:sz w:val="22"/>
                <w:szCs w:val="22"/>
              </w:rPr>
            </w:pPr>
            <w:r>
              <w:rPr>
                <w:rFonts w:ascii="Arial" w:hAnsi="Arial" w:cs="Arial"/>
                <w:sz w:val="22"/>
                <w:szCs w:val="22"/>
              </w:rPr>
              <w:t>De Raad kan in dit dossier op grond van gebrek aan informatie dus geen beslissing nemen.</w:t>
            </w:r>
            <w:r w:rsidR="00005F03">
              <w:rPr>
                <w:rFonts w:ascii="Arial" w:hAnsi="Arial" w:cs="Arial"/>
                <w:sz w:val="22"/>
                <w:szCs w:val="22"/>
              </w:rPr>
              <w:t xml:space="preserve"> </w:t>
            </w:r>
          </w:p>
          <w:p w:rsidR="00005F03" w:rsidRDefault="00005F03" w:rsidP="00005F03">
            <w:pPr>
              <w:rPr>
                <w:rFonts w:ascii="Arial" w:hAnsi="Arial" w:cs="Arial"/>
                <w:sz w:val="22"/>
                <w:szCs w:val="22"/>
              </w:rPr>
            </w:pPr>
          </w:p>
          <w:p w:rsidR="00005F03" w:rsidRDefault="00005F03" w:rsidP="00005F03">
            <w:pPr>
              <w:rPr>
                <w:rFonts w:ascii="Arial" w:hAnsi="Arial" w:cs="Arial"/>
                <w:sz w:val="22"/>
                <w:szCs w:val="22"/>
              </w:rPr>
            </w:pPr>
            <w:r>
              <w:rPr>
                <w:rFonts w:ascii="Arial" w:hAnsi="Arial" w:cs="Arial"/>
                <w:sz w:val="22"/>
                <w:szCs w:val="22"/>
              </w:rPr>
              <w:t>ONZE WENSEN.</w:t>
            </w:r>
          </w:p>
          <w:p w:rsidR="00005F03" w:rsidRDefault="002A7E82" w:rsidP="00AE4123">
            <w:pPr>
              <w:numPr>
                <w:ilvl w:val="0"/>
                <w:numId w:val="6"/>
              </w:numPr>
              <w:rPr>
                <w:rFonts w:ascii="Arial" w:hAnsi="Arial" w:cs="Arial"/>
                <w:sz w:val="22"/>
                <w:szCs w:val="22"/>
              </w:rPr>
            </w:pPr>
            <w:r>
              <w:rPr>
                <w:rFonts w:ascii="Arial" w:hAnsi="Arial" w:cs="Arial"/>
                <w:sz w:val="22"/>
                <w:szCs w:val="22"/>
              </w:rPr>
              <w:t>Informeer bij Van der Poel wat hun schadeclaim in concreto is met onderbouwing.</w:t>
            </w:r>
          </w:p>
          <w:p w:rsidR="002A7E82" w:rsidRDefault="002A7E82" w:rsidP="00AE4123">
            <w:pPr>
              <w:numPr>
                <w:ilvl w:val="0"/>
                <w:numId w:val="6"/>
              </w:numPr>
              <w:rPr>
                <w:rFonts w:ascii="Arial" w:hAnsi="Arial" w:cs="Arial"/>
                <w:sz w:val="22"/>
                <w:szCs w:val="22"/>
              </w:rPr>
            </w:pPr>
            <w:r>
              <w:rPr>
                <w:rFonts w:ascii="Arial" w:hAnsi="Arial" w:cs="Arial"/>
                <w:sz w:val="22"/>
                <w:szCs w:val="22"/>
              </w:rPr>
              <w:t>Ga met deze claim naar een expert op dit gebied om in te schatten wat deze claim voor uitwerking zal hebben voor de rechter.</w:t>
            </w:r>
          </w:p>
          <w:p w:rsidR="002A7E82" w:rsidRDefault="002A7E82" w:rsidP="00AE4123">
            <w:pPr>
              <w:numPr>
                <w:ilvl w:val="0"/>
                <w:numId w:val="6"/>
              </w:numPr>
              <w:rPr>
                <w:rFonts w:ascii="Arial" w:hAnsi="Arial" w:cs="Arial"/>
                <w:sz w:val="22"/>
                <w:szCs w:val="22"/>
              </w:rPr>
            </w:pPr>
            <w:r>
              <w:rPr>
                <w:rFonts w:ascii="Arial" w:hAnsi="Arial" w:cs="Arial"/>
                <w:sz w:val="22"/>
                <w:szCs w:val="22"/>
              </w:rPr>
              <w:t>Kom met deze informatie terug naar de Raad.</w:t>
            </w:r>
          </w:p>
          <w:p w:rsidR="002A7E82" w:rsidRDefault="002A7E82" w:rsidP="00005F03">
            <w:pPr>
              <w:rPr>
                <w:rFonts w:ascii="Arial" w:hAnsi="Arial" w:cs="Arial"/>
                <w:sz w:val="22"/>
                <w:szCs w:val="22"/>
              </w:rPr>
            </w:pPr>
          </w:p>
          <w:p w:rsidR="002A7E82" w:rsidRDefault="002A7E82" w:rsidP="00005F03">
            <w:pPr>
              <w:rPr>
                <w:rFonts w:ascii="Arial" w:hAnsi="Arial" w:cs="Arial"/>
                <w:sz w:val="22"/>
                <w:szCs w:val="22"/>
              </w:rPr>
            </w:pPr>
            <w:r>
              <w:rPr>
                <w:rFonts w:ascii="Arial" w:hAnsi="Arial" w:cs="Arial"/>
                <w:sz w:val="22"/>
                <w:szCs w:val="22"/>
              </w:rPr>
              <w:t xml:space="preserve">Op grond van deze informatie kan de Raad dan beslissen </w:t>
            </w:r>
          </w:p>
          <w:p w:rsidR="002A7E82" w:rsidRDefault="002A7E82" w:rsidP="00AE4123">
            <w:pPr>
              <w:numPr>
                <w:ilvl w:val="0"/>
                <w:numId w:val="6"/>
              </w:numPr>
              <w:rPr>
                <w:rFonts w:ascii="Arial" w:hAnsi="Arial" w:cs="Arial"/>
                <w:sz w:val="22"/>
                <w:szCs w:val="22"/>
              </w:rPr>
            </w:pPr>
            <w:r>
              <w:rPr>
                <w:rFonts w:ascii="Arial" w:hAnsi="Arial" w:cs="Arial"/>
                <w:sz w:val="22"/>
                <w:szCs w:val="22"/>
              </w:rPr>
              <w:t>of er geprocedeerd moet worden,</w:t>
            </w:r>
          </w:p>
          <w:p w:rsidR="002A7E82" w:rsidRDefault="002A7E82" w:rsidP="00AE4123">
            <w:pPr>
              <w:numPr>
                <w:ilvl w:val="0"/>
                <w:numId w:val="6"/>
              </w:numPr>
              <w:rPr>
                <w:rFonts w:ascii="Arial" w:hAnsi="Arial" w:cs="Arial"/>
                <w:sz w:val="22"/>
                <w:szCs w:val="22"/>
              </w:rPr>
            </w:pPr>
            <w:r>
              <w:rPr>
                <w:rFonts w:ascii="Arial" w:hAnsi="Arial" w:cs="Arial"/>
                <w:sz w:val="22"/>
                <w:szCs w:val="22"/>
              </w:rPr>
              <w:t>of het College terug naar de onderhandelingstafel moet,</w:t>
            </w:r>
          </w:p>
          <w:p w:rsidR="002A7E82" w:rsidRDefault="002A7E82" w:rsidP="00AE4123">
            <w:pPr>
              <w:numPr>
                <w:ilvl w:val="0"/>
                <w:numId w:val="6"/>
              </w:numPr>
              <w:rPr>
                <w:rFonts w:ascii="Arial" w:hAnsi="Arial" w:cs="Arial"/>
                <w:sz w:val="22"/>
                <w:szCs w:val="22"/>
              </w:rPr>
            </w:pPr>
            <w:r>
              <w:rPr>
                <w:rFonts w:ascii="Arial" w:hAnsi="Arial" w:cs="Arial"/>
                <w:sz w:val="22"/>
                <w:szCs w:val="22"/>
              </w:rPr>
              <w:t>of wij akkoord kunnen gaan met de nu voorliggende overeenkomst.</w:t>
            </w:r>
          </w:p>
          <w:p w:rsidR="002A7E82" w:rsidRDefault="002A7E82" w:rsidP="00005F03">
            <w:pPr>
              <w:rPr>
                <w:rFonts w:ascii="Arial" w:hAnsi="Arial" w:cs="Arial"/>
                <w:sz w:val="22"/>
                <w:szCs w:val="22"/>
              </w:rPr>
            </w:pPr>
          </w:p>
          <w:p w:rsidR="002A7E82" w:rsidRDefault="002A7E82" w:rsidP="00005F03">
            <w:pPr>
              <w:rPr>
                <w:rFonts w:ascii="Arial" w:hAnsi="Arial" w:cs="Arial"/>
                <w:sz w:val="22"/>
                <w:szCs w:val="22"/>
              </w:rPr>
            </w:pPr>
          </w:p>
          <w:p w:rsidR="002A7E82" w:rsidRDefault="002A7E82" w:rsidP="00005F03">
            <w:pPr>
              <w:rPr>
                <w:rFonts w:ascii="Arial" w:hAnsi="Arial" w:cs="Arial"/>
                <w:sz w:val="22"/>
                <w:szCs w:val="22"/>
              </w:rPr>
            </w:pPr>
          </w:p>
          <w:p w:rsidR="002A7E82" w:rsidRDefault="002A7E82" w:rsidP="00005F03">
            <w:pPr>
              <w:rPr>
                <w:rFonts w:ascii="Arial" w:hAnsi="Arial" w:cs="Arial"/>
                <w:sz w:val="22"/>
                <w:szCs w:val="22"/>
              </w:rPr>
            </w:pPr>
          </w:p>
          <w:p w:rsidR="002A7E82" w:rsidRDefault="002A7E82" w:rsidP="00005F03">
            <w:pPr>
              <w:rPr>
                <w:rFonts w:ascii="Arial" w:hAnsi="Arial" w:cs="Arial"/>
                <w:sz w:val="22"/>
                <w:szCs w:val="22"/>
              </w:rPr>
            </w:pPr>
          </w:p>
          <w:p w:rsidR="002A7E82" w:rsidRDefault="002A7E82" w:rsidP="00005F03">
            <w:pPr>
              <w:rPr>
                <w:rFonts w:ascii="Arial" w:hAnsi="Arial" w:cs="Arial"/>
                <w:sz w:val="22"/>
                <w:szCs w:val="22"/>
              </w:rPr>
            </w:pPr>
            <w:r>
              <w:rPr>
                <w:rFonts w:ascii="Arial" w:hAnsi="Arial" w:cs="Arial"/>
                <w:sz w:val="22"/>
                <w:szCs w:val="22"/>
              </w:rPr>
              <w:t>D66 is geen voorstander van veelvuldig gebruik maken van externe adviseurs. Echter, deze materie is ingewikkeld en kan alleen ingeschat worden door een ervaren en goed ingevoerde jurist op dit terrein</w:t>
            </w:r>
            <w:r w:rsidR="00032BC2">
              <w:rPr>
                <w:rFonts w:ascii="Arial" w:hAnsi="Arial" w:cs="Arial"/>
                <w:sz w:val="22"/>
                <w:szCs w:val="22"/>
              </w:rPr>
              <w:t>. Wij zouden graag zien dat het College na ontvangst van de claim in concreto een dergelijke specialist zoekt en consulteert.</w:t>
            </w:r>
          </w:p>
          <w:p w:rsidR="00032BC2" w:rsidRDefault="00032BC2" w:rsidP="000A6B5F">
            <w:pPr>
              <w:rPr>
                <w:rFonts w:ascii="Arial" w:hAnsi="Arial" w:cs="Arial"/>
                <w:sz w:val="22"/>
                <w:szCs w:val="22"/>
              </w:rPr>
            </w:pPr>
            <w:r>
              <w:rPr>
                <w:rFonts w:ascii="Arial" w:hAnsi="Arial" w:cs="Arial"/>
                <w:sz w:val="22"/>
                <w:szCs w:val="22"/>
              </w:rPr>
              <w:t xml:space="preserve">Wij zijn geen jurist. Toch schatten wij de rechtspositie van Van der Poel niet zo hoog in. Al in 2000 / 2001 was Van der Poel op de hoogte van het feit dat de bouwgrond “waardeloos” was geworden. Men heeft toen verzuimd met het toenmalig gemeentebestuur tot een vergelijk te komen. Kennelijk heeft Van der Poel uit speculatieve overwegingen de grond in bezit gehouden </w:t>
            </w:r>
            <w:r w:rsidR="000A6B5F">
              <w:rPr>
                <w:rFonts w:ascii="Arial" w:hAnsi="Arial" w:cs="Arial"/>
                <w:sz w:val="22"/>
                <w:szCs w:val="22"/>
              </w:rPr>
              <w:t xml:space="preserve">( in die periode is voor veel Europees geld het Kanaaleiland opgeknapt) </w:t>
            </w:r>
            <w:r>
              <w:rPr>
                <w:rFonts w:ascii="Arial" w:hAnsi="Arial" w:cs="Arial"/>
                <w:sz w:val="22"/>
                <w:szCs w:val="22"/>
              </w:rPr>
              <w:t xml:space="preserve">en is nu, 15 jaar later, tot de conclusie gekomen dat </w:t>
            </w:r>
            <w:r w:rsidR="000A6B5F">
              <w:rPr>
                <w:rFonts w:ascii="Arial" w:hAnsi="Arial" w:cs="Arial"/>
                <w:sz w:val="22"/>
                <w:szCs w:val="22"/>
              </w:rPr>
              <w:t>h</w:t>
            </w:r>
            <w:r>
              <w:rPr>
                <w:rFonts w:ascii="Arial" w:hAnsi="Arial" w:cs="Arial"/>
                <w:sz w:val="22"/>
                <w:szCs w:val="22"/>
              </w:rPr>
              <w:t>ij de deksel op de neus he</w:t>
            </w:r>
            <w:r w:rsidR="000A6B5F">
              <w:rPr>
                <w:rFonts w:ascii="Arial" w:hAnsi="Arial" w:cs="Arial"/>
                <w:sz w:val="22"/>
                <w:szCs w:val="22"/>
              </w:rPr>
              <w:t>eft</w:t>
            </w:r>
            <w:r>
              <w:rPr>
                <w:rFonts w:ascii="Arial" w:hAnsi="Arial" w:cs="Arial"/>
                <w:sz w:val="22"/>
                <w:szCs w:val="22"/>
              </w:rPr>
              <w:t xml:space="preserve"> gekregen.</w:t>
            </w:r>
          </w:p>
          <w:p w:rsidR="007416F8" w:rsidRPr="002B12EA" w:rsidRDefault="007416F8" w:rsidP="000A6B5F">
            <w:pPr>
              <w:rPr>
                <w:rFonts w:ascii="Arial" w:hAnsi="Arial" w:cs="Arial"/>
                <w:sz w:val="22"/>
                <w:szCs w:val="22"/>
              </w:rPr>
            </w:pPr>
            <w:r>
              <w:rPr>
                <w:rFonts w:ascii="Arial" w:hAnsi="Arial" w:cs="Arial"/>
                <w:sz w:val="22"/>
                <w:szCs w:val="22"/>
              </w:rPr>
              <w:t>Om die reden zou onze insteek voor de rechtbank zijn, dat Van der Poel in het geheel niet in aanmerking komt voor een schadevergoeding.</w:t>
            </w:r>
          </w:p>
        </w:tc>
      </w:tr>
      <w:tr w:rsidR="00E33528" w:rsidRPr="002B12EA">
        <w:trPr>
          <w:cantSplit/>
          <w:trHeight w:val="567"/>
        </w:trPr>
        <w:tc>
          <w:tcPr>
            <w:tcW w:w="2235" w:type="dxa"/>
          </w:tcPr>
          <w:p w:rsidR="002A7E82" w:rsidRDefault="002A7E82">
            <w:pPr>
              <w:rPr>
                <w:rFonts w:ascii="Arial" w:hAnsi="Arial" w:cs="Arial"/>
                <w:sz w:val="22"/>
                <w:szCs w:val="22"/>
              </w:rPr>
            </w:pPr>
          </w:p>
          <w:p w:rsidR="002A7E82" w:rsidRDefault="002A7E82">
            <w:pPr>
              <w:rPr>
                <w:rFonts w:ascii="Arial" w:hAnsi="Arial" w:cs="Arial"/>
                <w:sz w:val="22"/>
                <w:szCs w:val="22"/>
              </w:rPr>
            </w:pPr>
          </w:p>
          <w:p w:rsidR="002A7E82" w:rsidRDefault="002A7E82">
            <w:pPr>
              <w:rPr>
                <w:rFonts w:ascii="Arial" w:hAnsi="Arial" w:cs="Arial"/>
                <w:sz w:val="22"/>
                <w:szCs w:val="22"/>
              </w:rPr>
            </w:pPr>
          </w:p>
          <w:p w:rsidR="002A7E82" w:rsidRDefault="002A7E82">
            <w:pPr>
              <w:rPr>
                <w:rFonts w:ascii="Arial" w:hAnsi="Arial" w:cs="Arial"/>
                <w:sz w:val="22"/>
                <w:szCs w:val="22"/>
              </w:rPr>
            </w:pPr>
          </w:p>
          <w:p w:rsidR="002A7E82" w:rsidRDefault="002A7E82">
            <w:pPr>
              <w:rPr>
                <w:rFonts w:ascii="Arial" w:hAnsi="Arial" w:cs="Arial"/>
                <w:sz w:val="22"/>
                <w:szCs w:val="22"/>
              </w:rPr>
            </w:pPr>
          </w:p>
          <w:p w:rsidR="00E33528" w:rsidRPr="002B12EA" w:rsidRDefault="00E33528">
            <w:pPr>
              <w:rPr>
                <w:rFonts w:ascii="Arial" w:hAnsi="Arial" w:cs="Arial"/>
                <w:sz w:val="22"/>
                <w:szCs w:val="22"/>
              </w:rPr>
            </w:pPr>
            <w:r w:rsidRPr="002B12EA">
              <w:rPr>
                <w:rFonts w:ascii="Arial" w:hAnsi="Arial" w:cs="Arial"/>
                <w:sz w:val="22"/>
                <w:szCs w:val="22"/>
              </w:rPr>
              <w:t>Naam / namen +</w:t>
            </w:r>
          </w:p>
          <w:p w:rsidR="00E33528" w:rsidRPr="002B12EA" w:rsidRDefault="00E33528">
            <w:pPr>
              <w:rPr>
                <w:rFonts w:ascii="Arial" w:hAnsi="Arial" w:cs="Arial"/>
                <w:sz w:val="22"/>
                <w:szCs w:val="22"/>
              </w:rPr>
            </w:pPr>
            <w:r w:rsidRPr="002B12EA">
              <w:rPr>
                <w:rFonts w:ascii="Arial" w:hAnsi="Arial" w:cs="Arial"/>
                <w:sz w:val="22"/>
                <w:szCs w:val="22"/>
              </w:rPr>
              <w:t>fractie(s)</w:t>
            </w:r>
          </w:p>
        </w:tc>
        <w:tc>
          <w:tcPr>
            <w:tcW w:w="6977" w:type="dxa"/>
          </w:tcPr>
          <w:p w:rsidR="002A7E82" w:rsidRDefault="002A7E82">
            <w:pPr>
              <w:rPr>
                <w:rFonts w:ascii="Arial" w:hAnsi="Arial" w:cs="Arial"/>
                <w:sz w:val="22"/>
                <w:szCs w:val="22"/>
              </w:rPr>
            </w:pPr>
          </w:p>
          <w:p w:rsidR="002A7E82" w:rsidRDefault="002A7E82">
            <w:pPr>
              <w:rPr>
                <w:rFonts w:ascii="Arial" w:hAnsi="Arial" w:cs="Arial"/>
                <w:sz w:val="22"/>
                <w:szCs w:val="22"/>
              </w:rPr>
            </w:pPr>
          </w:p>
          <w:p w:rsidR="002A7E82" w:rsidRDefault="002A7E82">
            <w:pPr>
              <w:rPr>
                <w:rFonts w:ascii="Arial" w:hAnsi="Arial" w:cs="Arial"/>
                <w:sz w:val="22"/>
                <w:szCs w:val="22"/>
              </w:rPr>
            </w:pPr>
          </w:p>
          <w:p w:rsidR="002A7E82" w:rsidRDefault="002A7E82">
            <w:pPr>
              <w:rPr>
                <w:rFonts w:ascii="Arial" w:hAnsi="Arial" w:cs="Arial"/>
                <w:sz w:val="22"/>
                <w:szCs w:val="22"/>
              </w:rPr>
            </w:pPr>
          </w:p>
          <w:p w:rsidR="002A7E82" w:rsidRDefault="002A7E82">
            <w:pPr>
              <w:rPr>
                <w:rFonts w:ascii="Arial" w:hAnsi="Arial" w:cs="Arial"/>
                <w:sz w:val="22"/>
                <w:szCs w:val="22"/>
              </w:rPr>
            </w:pPr>
          </w:p>
          <w:p w:rsidR="00E33528" w:rsidRPr="002B12EA" w:rsidRDefault="008D7082">
            <w:pPr>
              <w:rPr>
                <w:rFonts w:ascii="Arial" w:hAnsi="Arial" w:cs="Arial"/>
                <w:sz w:val="22"/>
                <w:szCs w:val="22"/>
              </w:rPr>
            </w:pPr>
            <w:r>
              <w:rPr>
                <w:rFonts w:ascii="Arial" w:hAnsi="Arial" w:cs="Arial"/>
                <w:sz w:val="22"/>
                <w:szCs w:val="22"/>
              </w:rPr>
              <w:t>C.ten Hengel,  D66</w:t>
            </w:r>
          </w:p>
        </w:tc>
      </w:tr>
    </w:tbl>
    <w:p w:rsidR="00E33528" w:rsidRDefault="00E33528"/>
    <w:sectPr w:rsidR="00E33528">
      <w:headerReference w:type="even" r:id="rId9"/>
      <w:headerReference w:type="default" r:id="rId10"/>
      <w:footerReference w:type="even" r:id="rId11"/>
      <w:footerReference w:type="default" r:id="rId12"/>
      <w:headerReference w:type="first" r:id="rId13"/>
      <w:footerReference w:type="first" r:id="rId14"/>
      <w:footnotePr>
        <w:pos w:val="beneathText"/>
      </w:footnotePr>
      <w:pgSz w:w="11905" w:h="16837"/>
      <w:pgMar w:top="1417" w:right="1417" w:bottom="1417" w:left="1417"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340" w:rsidRDefault="00077340">
      <w:r>
        <w:separator/>
      </w:r>
    </w:p>
  </w:endnote>
  <w:endnote w:type="continuationSeparator" w:id="0">
    <w:p w:rsidR="00077340" w:rsidRDefault="00077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28" w:rsidRDefault="00E3352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E33528" w:rsidRDefault="00E33528">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28" w:rsidRDefault="00E33528">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237C53">
      <w:rPr>
        <w:rStyle w:val="Paginanummer"/>
        <w:noProof/>
      </w:rPr>
      <w:t>3</w:t>
    </w:r>
    <w:r>
      <w:rPr>
        <w:rStyle w:val="Paginanummer"/>
      </w:rPr>
      <w:fldChar w:fldCharType="end"/>
    </w:r>
  </w:p>
  <w:p w:rsidR="00E33528" w:rsidRDefault="00E33528">
    <w:pPr>
      <w:pStyle w:val="Voettekst"/>
      <w:tabs>
        <w:tab w:val="left" w:pos="6379"/>
      </w:tabs>
      <w:rPr>
        <w:b/>
        <w:bCs/>
      </w:rPr>
    </w:pPr>
    <w:r>
      <w:tab/>
    </w:r>
    <w:r>
      <w:tab/>
    </w:r>
    <w:r>
      <w:rPr>
        <w:sz w:val="20"/>
      </w:rPr>
      <w:t xml:space="preserve">Lijst agendapunten nr. </w:t>
    </w:r>
    <w:r>
      <w:rPr>
        <w:b/>
        <w:bCs/>
      </w:rPr>
      <w:t>15c</w:t>
    </w:r>
  </w:p>
  <w:p w:rsidR="00E33528" w:rsidRDefault="00E33528">
    <w:pPr>
      <w:pStyle w:val="Voettekst"/>
      <w:tabs>
        <w:tab w:val="left" w:pos="6379"/>
      </w:tabs>
      <w:rPr>
        <w:sz w:val="20"/>
      </w:rPr>
    </w:pPr>
    <w:r>
      <w:rPr>
        <w:b/>
        <w:bCs/>
      </w:rPr>
      <w:tab/>
    </w:r>
    <w:r>
      <w:rPr>
        <w:b/>
        <w:bCs/>
      </w:rPr>
      <w:tab/>
    </w:r>
    <w:r>
      <w:rPr>
        <w:sz w:val="20"/>
      </w:rPr>
      <w:t>(aanvullend)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28" w:rsidRDefault="00E33528">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340" w:rsidRDefault="00077340">
      <w:r>
        <w:separator/>
      </w:r>
    </w:p>
  </w:footnote>
  <w:footnote w:type="continuationSeparator" w:id="0">
    <w:p w:rsidR="00077340" w:rsidRDefault="00077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28" w:rsidRDefault="00E33528">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28" w:rsidRDefault="00E33528">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528" w:rsidRDefault="00E3352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lowerLetter"/>
      <w:lvlText w:val="%1."/>
      <w:lvlJc w:val="left"/>
      <w:pPr>
        <w:tabs>
          <w:tab w:val="num" w:pos="720"/>
        </w:tabs>
      </w:pPr>
    </w:lvl>
  </w:abstractNum>
  <w:abstractNum w:abstractNumId="1" w15:restartNumberingAfterBreak="0">
    <w:nsid w:val="00000002"/>
    <w:multiLevelType w:val="multilevel"/>
    <w:tmpl w:val="00000002"/>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 w15:restartNumberingAfterBreak="0">
    <w:nsid w:val="14A355C7"/>
    <w:multiLevelType w:val="hybridMultilevel"/>
    <w:tmpl w:val="A610500A"/>
    <w:lvl w:ilvl="0" w:tplc="6DB42BC6">
      <w:start w:val="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77C05"/>
    <w:multiLevelType w:val="hybridMultilevel"/>
    <w:tmpl w:val="B91256B4"/>
    <w:lvl w:ilvl="0" w:tplc="D27C70D2">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982FD8"/>
    <w:multiLevelType w:val="hybridMultilevel"/>
    <w:tmpl w:val="7654F64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0BF7414"/>
    <w:multiLevelType w:val="hybridMultilevel"/>
    <w:tmpl w:val="A630308A"/>
    <w:lvl w:ilvl="0" w:tplc="257C4828">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2EA"/>
    <w:rsid w:val="00005F03"/>
    <w:rsid w:val="00032BC2"/>
    <w:rsid w:val="00077340"/>
    <w:rsid w:val="000A6B5F"/>
    <w:rsid w:val="000B58D3"/>
    <w:rsid w:val="0016118C"/>
    <w:rsid w:val="001D6D13"/>
    <w:rsid w:val="001F4EC6"/>
    <w:rsid w:val="00237C53"/>
    <w:rsid w:val="00277DFB"/>
    <w:rsid w:val="002874A9"/>
    <w:rsid w:val="002A7E62"/>
    <w:rsid w:val="002A7E82"/>
    <w:rsid w:val="002B12EA"/>
    <w:rsid w:val="003378FF"/>
    <w:rsid w:val="003C192E"/>
    <w:rsid w:val="004645EA"/>
    <w:rsid w:val="0048030F"/>
    <w:rsid w:val="007416F8"/>
    <w:rsid w:val="00783307"/>
    <w:rsid w:val="007C794C"/>
    <w:rsid w:val="008755D3"/>
    <w:rsid w:val="008A0BB3"/>
    <w:rsid w:val="008D7082"/>
    <w:rsid w:val="00972135"/>
    <w:rsid w:val="00982518"/>
    <w:rsid w:val="00AE4123"/>
    <w:rsid w:val="00C174EC"/>
    <w:rsid w:val="00D53B1E"/>
    <w:rsid w:val="00D906DD"/>
    <w:rsid w:val="00E33528"/>
    <w:rsid w:val="00E47560"/>
    <w:rsid w:val="00EA5F56"/>
    <w:rsid w:val="00ED5C69"/>
    <w:rsid w:val="00FD16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387ED278-984B-410A-91B6-4A748E23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sz w:val="24"/>
      <w:szCs w:val="24"/>
      <w:lang w:eastAsia="ar-SA"/>
    </w:rPr>
  </w:style>
  <w:style w:type="paragraph" w:styleId="Kop1">
    <w:name w:val="heading 1"/>
    <w:basedOn w:val="Standaard"/>
    <w:next w:val="Standaard"/>
    <w:qFormat/>
    <w:pPr>
      <w:keepNext/>
      <w:framePr w:hSpace="141" w:wrap="notBeside" w:vAnchor="text" w:hAnchor="margin" w:xAlign="right" w:y="2"/>
      <w:tabs>
        <w:tab w:val="left" w:pos="6662"/>
      </w:tabs>
      <w:outlineLvl w:val="0"/>
    </w:pPr>
    <w:rPr>
      <w:b/>
      <w:bCs/>
    </w:rPr>
  </w:style>
  <w:style w:type="paragraph" w:styleId="Kop2">
    <w:name w:val="heading 2"/>
    <w:basedOn w:val="Standaard"/>
    <w:next w:val="Standaard"/>
    <w:qFormat/>
    <w:pPr>
      <w:keepNext/>
      <w:framePr w:hSpace="141" w:wrap="around" w:vAnchor="text" w:hAnchor="margin" w:xAlign="right" w:y="-805"/>
      <w:tabs>
        <w:tab w:val="left" w:pos="6662"/>
      </w:tabs>
      <w:outlineLvl w:val="1"/>
    </w:pPr>
    <w:rPr>
      <w:b/>
      <w:bCs/>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Absatz-Standardschriftart">
    <w:name w:val="WW-Absatz-Standardschriftart"/>
  </w:style>
  <w:style w:type="character" w:customStyle="1" w:styleId="WW-Standaardalinea-lettertype">
    <w:name w:val="WW-Standaardalinea-lettertype"/>
  </w:style>
  <w:style w:type="character" w:customStyle="1" w:styleId="Voetnootteken">
    <w:name w:val="Voetnootteken"/>
  </w:style>
  <w:style w:type="character" w:customStyle="1" w:styleId="WW-Voetnootteken">
    <w:name w:val="WW-Voetnootteken"/>
    <w:rPr>
      <w:vertAlign w:val="superscript"/>
    </w:rPr>
  </w:style>
  <w:style w:type="paragraph" w:styleId="Plattetekst">
    <w:name w:val="Body Text"/>
    <w:basedOn w:val="Standaard"/>
    <w:pPr>
      <w:spacing w:after="120"/>
    </w:pPr>
  </w:style>
  <w:style w:type="paragraph" w:styleId="Lijst">
    <w:name w:val="List"/>
    <w:basedOn w:val="Plattetekst"/>
    <w:rPr>
      <w:rFonts w:cs="Tahoma"/>
    </w:rPr>
  </w:style>
  <w:style w:type="paragraph" w:styleId="Bijschrift">
    <w:name w:val="caption"/>
    <w:basedOn w:val="Standaard"/>
    <w:qFormat/>
    <w:pPr>
      <w:suppressLineNumbers/>
      <w:spacing w:before="120" w:after="120"/>
    </w:pPr>
    <w:rPr>
      <w:rFonts w:cs="Tahoma"/>
      <w:i/>
      <w:iCs/>
      <w:sz w:val="20"/>
      <w:szCs w:val="20"/>
    </w:rPr>
  </w:style>
  <w:style w:type="paragraph" w:customStyle="1" w:styleId="Index">
    <w:name w:val="Index"/>
    <w:basedOn w:val="Standaard"/>
    <w:pPr>
      <w:suppressLineNumbers/>
    </w:pPr>
    <w:rPr>
      <w:rFonts w:cs="Tahoma"/>
    </w:rPr>
  </w:style>
  <w:style w:type="paragraph" w:customStyle="1" w:styleId="WW-Bijschrift">
    <w:name w:val="WW-Bijschrift"/>
    <w:basedOn w:val="Standaard"/>
    <w:pPr>
      <w:suppressLineNumbers/>
      <w:spacing w:before="120" w:after="120"/>
    </w:pPr>
    <w:rPr>
      <w:rFonts w:cs="Tahoma"/>
      <w:i/>
      <w:iCs/>
      <w:sz w:val="20"/>
      <w:szCs w:val="20"/>
    </w:rPr>
  </w:style>
  <w:style w:type="paragraph" w:customStyle="1" w:styleId="WW-Index">
    <w:name w:val="WW-Index"/>
    <w:basedOn w:val="Standaard"/>
    <w:pPr>
      <w:suppressLineNumbers/>
    </w:pPr>
    <w:rPr>
      <w:rFonts w:cs="Tahoma"/>
    </w:rPr>
  </w:style>
  <w:style w:type="paragraph" w:styleId="Voetnoottekst">
    <w:name w:val="footnote text"/>
    <w:basedOn w:val="Standaard"/>
    <w:semiHidden/>
    <w:rPr>
      <w:sz w:val="20"/>
      <w:szCs w:val="20"/>
    </w:rPr>
  </w:style>
  <w:style w:type="paragraph" w:customStyle="1" w:styleId="Inhoudtabel">
    <w:name w:val="Inhoud tabel"/>
    <w:basedOn w:val="Plattetekst"/>
    <w:pPr>
      <w:suppressLineNumbers/>
    </w:pPr>
  </w:style>
  <w:style w:type="paragraph" w:customStyle="1" w:styleId="WW-Inhoudtabel">
    <w:name w:val="WW-Inhoud tabel"/>
    <w:basedOn w:val="Plattetekst"/>
    <w:pPr>
      <w:suppressLineNumbers/>
    </w:pPr>
  </w:style>
  <w:style w:type="paragraph" w:customStyle="1" w:styleId="Tabelkop">
    <w:name w:val="Tabelkop"/>
    <w:basedOn w:val="Inhoudtabel"/>
    <w:pPr>
      <w:jc w:val="center"/>
    </w:pPr>
    <w:rPr>
      <w:b/>
      <w:bCs/>
      <w:i/>
      <w:iCs/>
    </w:rPr>
  </w:style>
  <w:style w:type="paragraph" w:customStyle="1" w:styleId="WW-Tabelkop">
    <w:name w:val="WW-Tabelkop"/>
    <w:basedOn w:val="WW-Inhoudtabel"/>
    <w:pPr>
      <w:jc w:val="center"/>
    </w:pPr>
    <w:rPr>
      <w:b/>
      <w:bCs/>
      <w:i/>
      <w:iCs/>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Plattetekst2">
    <w:name w:val="Body Text 2"/>
    <w:basedOn w:val="Standaar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MsOffice\Sjablonen\moti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motie</Template>
  <TotalTime>0</TotalTime>
  <Pages>3</Pages>
  <Words>840</Words>
  <Characters>4623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GEMEENTERAAD</vt:lpstr>
    </vt:vector>
  </TitlesOfParts>
  <Company>Gemeente TERNEUZEN</Company>
  <LinksUpToDate>false</LinksUpToDate>
  <CharactersWithSpaces>5453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GEMEENTERAAD</dc:title>
  <dc:subject/>
  <dc:creator>Afdeling Informatisering en Automatisering</dc:creator>
  <cp:keywords/>
  <dc:description/>
  <cp:lastModifiedBy>C ten Hengel</cp:lastModifiedBy>
  <cp:revision>2</cp:revision>
  <cp:lastPrinted>1899-12-31T22:00:00Z</cp:lastPrinted>
  <dcterms:created xsi:type="dcterms:W3CDTF">2015-06-30T05:57:00Z</dcterms:created>
  <dcterms:modified xsi:type="dcterms:W3CDTF">2015-06-30T05:57:00Z</dcterms:modified>
</cp:coreProperties>
</file>